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2D73FB" w:rsidRPr="00296D0A" w:rsidTr="002D73FB">
        <w:trPr>
          <w:trHeight w:val="1134"/>
        </w:trPr>
        <w:tc>
          <w:tcPr>
            <w:tcW w:w="223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2D73FB" w:rsidRPr="00563415" w:rsidRDefault="002D73FB" w:rsidP="0025117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Veranstaltung</w:t>
            </w:r>
          </w:p>
        </w:tc>
        <w:tc>
          <w:tcPr>
            <w:tcW w:w="6409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2D73FB" w:rsidRPr="002F3A96" w:rsidRDefault="002D73FB" w:rsidP="002D73FB">
            <w:pPr>
              <w:jc w:val="left"/>
              <w:rPr>
                <w:b/>
                <w:i/>
                <w:sz w:val="40"/>
                <w:szCs w:val="40"/>
              </w:rPr>
            </w:pPr>
            <w:r w:rsidRPr="002D73FB">
              <w:rPr>
                <w:b/>
                <w:sz w:val="40"/>
                <w:szCs w:val="40"/>
              </w:rPr>
              <w:t>Medienkompetenz I</w:t>
            </w:r>
          </w:p>
        </w:tc>
      </w:tr>
      <w:tr w:rsidR="002D73FB" w:rsidRPr="00296D0A" w:rsidTr="00251177">
        <w:tc>
          <w:tcPr>
            <w:tcW w:w="2235" w:type="dxa"/>
            <w:tcBorders>
              <w:top w:val="single" w:sz="48" w:space="0" w:color="auto"/>
            </w:tcBorders>
          </w:tcPr>
          <w:p w:rsidR="002D73FB" w:rsidRPr="00296D0A" w:rsidRDefault="002D73FB" w:rsidP="00251177">
            <w:pPr>
              <w:jc w:val="left"/>
            </w:pPr>
            <w:r>
              <w:t>Dozent</w:t>
            </w:r>
          </w:p>
        </w:tc>
        <w:tc>
          <w:tcPr>
            <w:tcW w:w="6409" w:type="dxa"/>
            <w:tcBorders>
              <w:top w:val="single" w:sz="48" w:space="0" w:color="auto"/>
            </w:tcBorders>
          </w:tcPr>
          <w:p w:rsidR="002D73FB" w:rsidRPr="00296D0A" w:rsidRDefault="002D73FB" w:rsidP="00251177">
            <w:pPr>
              <w:jc w:val="left"/>
            </w:pPr>
            <w:r w:rsidRPr="00DC5DA6">
              <w:t>PD Dr. Wolfgang Krebs</w:t>
            </w:r>
          </w:p>
        </w:tc>
      </w:tr>
      <w:tr w:rsidR="002D73FB" w:rsidRPr="00296D0A" w:rsidTr="00251177">
        <w:tc>
          <w:tcPr>
            <w:tcW w:w="2235" w:type="dxa"/>
          </w:tcPr>
          <w:p w:rsidR="002D73FB" w:rsidRPr="00DC5DA6" w:rsidRDefault="002D73FB" w:rsidP="00251177">
            <w:pPr>
              <w:jc w:val="left"/>
            </w:pPr>
            <w:r>
              <w:t xml:space="preserve">Zeitraum / </w:t>
            </w:r>
            <w:r w:rsidRPr="002F3A96">
              <w:rPr>
                <w:i/>
              </w:rPr>
              <w:t>Period</w:t>
            </w:r>
          </w:p>
        </w:tc>
        <w:tc>
          <w:tcPr>
            <w:tcW w:w="6409" w:type="dxa"/>
          </w:tcPr>
          <w:p w:rsidR="002D73FB" w:rsidRPr="00DC5DA6" w:rsidRDefault="002D73FB" w:rsidP="00251177">
            <w:pPr>
              <w:jc w:val="left"/>
            </w:pPr>
            <w:r>
              <w:t>WS 2012</w:t>
            </w:r>
          </w:p>
        </w:tc>
      </w:tr>
      <w:tr w:rsidR="002D73FB" w:rsidRPr="00563415" w:rsidTr="00251177">
        <w:tc>
          <w:tcPr>
            <w:tcW w:w="2235" w:type="dxa"/>
          </w:tcPr>
          <w:p w:rsidR="002D73FB" w:rsidRPr="002F3A96" w:rsidRDefault="002D73FB" w:rsidP="00251177">
            <w:pPr>
              <w:jc w:val="left"/>
            </w:pPr>
            <w:r>
              <w:t xml:space="preserve">Einzelheiten / </w:t>
            </w:r>
            <w:r>
              <w:rPr>
                <w:i/>
              </w:rPr>
              <w:t>Details</w:t>
            </w:r>
          </w:p>
        </w:tc>
        <w:tc>
          <w:tcPr>
            <w:tcW w:w="6409" w:type="dxa"/>
          </w:tcPr>
          <w:p w:rsidR="002D73FB" w:rsidRPr="00931EEC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 w:rsidRPr="00931EEC">
              <w:rPr>
                <w:lang w:val="en-US"/>
              </w:rPr>
              <w:t xml:space="preserve">Proseminar, 2 SWS, </w:t>
            </w:r>
            <w:r>
              <w:rPr>
                <w:lang w:val="en-US"/>
              </w:rPr>
              <w:t>ECTS-Credits</w:t>
            </w:r>
          </w:p>
          <w:p w:rsidR="002D73FB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2D73FB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 xml:space="preserve">geeignet als Schlüsselqualifikation / </w:t>
            </w:r>
            <w:r w:rsidRPr="000D2806">
              <w:rPr>
                <w:i/>
              </w:rPr>
              <w:t>key skills</w:t>
            </w:r>
          </w:p>
          <w:p w:rsidR="002D73FB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 xml:space="preserve">Einzelunterricht nach Bedarf / </w:t>
            </w:r>
            <w:r w:rsidRPr="000D2806">
              <w:rPr>
                <w:i/>
              </w:rPr>
              <w:t>Individual Le</w:t>
            </w:r>
            <w:r w:rsidRPr="000D2806">
              <w:rPr>
                <w:i/>
              </w:rPr>
              <w:t>e</w:t>
            </w:r>
            <w:r w:rsidRPr="000D2806">
              <w:rPr>
                <w:i/>
              </w:rPr>
              <w:t>sons as needed</w:t>
            </w:r>
          </w:p>
          <w:p w:rsidR="002D73FB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 xml:space="preserve">Unterrichtssprache Deutsch und Englisch / </w:t>
            </w:r>
            <w:r>
              <w:rPr>
                <w:i/>
              </w:rPr>
              <w:t>La</w:t>
            </w:r>
            <w:r>
              <w:rPr>
                <w:i/>
              </w:rPr>
              <w:t>n</w:t>
            </w:r>
            <w:r>
              <w:rPr>
                <w:i/>
              </w:rPr>
              <w:t>guage german and english</w:t>
            </w:r>
          </w:p>
          <w:p w:rsidR="002D73FB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>Institution: ZIEW</w:t>
            </w:r>
          </w:p>
          <w:p w:rsidR="002D73FB" w:rsidRPr="00563415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  <w:rPr>
                <w:lang w:val="fr-FR"/>
              </w:rPr>
            </w:pPr>
            <w:r w:rsidRPr="00563415">
              <w:rPr>
                <w:lang w:val="fr-FR"/>
              </w:rPr>
              <w:t xml:space="preserve">Ort / </w:t>
            </w:r>
            <w:r w:rsidRPr="00563415">
              <w:rPr>
                <w:i/>
                <w:lang w:val="fr-FR"/>
              </w:rPr>
              <w:t>location</w:t>
            </w:r>
            <w:r w:rsidRPr="00563415">
              <w:rPr>
                <w:lang w:val="fr-FR"/>
              </w:rPr>
              <w:t>: R.1.043 UNI-Bibliothek Erlangen</w:t>
            </w:r>
          </w:p>
          <w:p w:rsidR="002D73FB" w:rsidRPr="00DC5DA6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 xml:space="preserve">Termine nach Vereinbarung / </w:t>
            </w:r>
            <w:r>
              <w:rPr>
                <w:i/>
              </w:rPr>
              <w:t>by appointment</w:t>
            </w:r>
            <w:r>
              <w:t xml:space="preserve"> </w:t>
            </w:r>
          </w:p>
          <w:p w:rsidR="002D73FB" w:rsidRPr="00563415" w:rsidRDefault="002D73FB" w:rsidP="002D73FB">
            <w:pPr>
              <w:pStyle w:val="Listenabsatz"/>
              <w:numPr>
                <w:ilvl w:val="0"/>
                <w:numId w:val="2"/>
              </w:numPr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>
              <w:t xml:space="preserve">: </w:t>
            </w:r>
            <w:r w:rsidRPr="000D2806">
              <w:t>31</w:t>
            </w:r>
            <w:r>
              <w:t>.12.2012 Dr. Wolfgang Krebs (</w:t>
            </w:r>
            <w:hyperlink r:id="rId7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 xml:space="preserve">), Tel. </w:t>
            </w:r>
            <w:r w:rsidRPr="00563415">
              <w:t>(mobil) 0170-2140100</w:t>
            </w:r>
          </w:p>
        </w:tc>
      </w:tr>
    </w:tbl>
    <w:p w:rsidR="002D73FB" w:rsidRPr="00563415" w:rsidRDefault="002D73FB" w:rsidP="002D73FB"/>
    <w:p w:rsidR="002D73FB" w:rsidRDefault="002D73FB" w:rsidP="00300A47">
      <w:pPr>
        <w:pStyle w:val="berschrift2"/>
      </w:pPr>
      <w:r>
        <w:t>Beschr</w:t>
      </w:r>
      <w:bookmarkStart w:id="0" w:name="_GoBack"/>
      <w:bookmarkEnd w:id="0"/>
      <w:r>
        <w:t xml:space="preserve">eibung / </w:t>
      </w:r>
      <w:r w:rsidRPr="000D2806">
        <w:rPr>
          <w:i/>
        </w:rPr>
        <w:t>Desc</w:t>
      </w:r>
      <w:r>
        <w:rPr>
          <w:i/>
        </w:rPr>
        <w:t>r</w:t>
      </w:r>
      <w:r w:rsidRPr="000D2806">
        <w:rPr>
          <w:i/>
        </w:rPr>
        <w:t>iption</w:t>
      </w:r>
      <w:r>
        <w:t>:</w:t>
      </w:r>
    </w:p>
    <w:p w:rsidR="00BA1F2A" w:rsidRPr="002D73FB" w:rsidRDefault="00BA1F2A" w:rsidP="00FA7D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D73FB" w:rsidRPr="002D73FB" w:rsidTr="002D73FB">
        <w:tc>
          <w:tcPr>
            <w:tcW w:w="4322" w:type="dxa"/>
          </w:tcPr>
          <w:p w:rsidR="002D73FB" w:rsidRDefault="002D73FB" w:rsidP="002D73FB">
            <w:pPr>
              <w:jc w:val="left"/>
            </w:pPr>
            <w:r>
              <w:t>Medienkompetenz für blinde und sehbehinderte Studierende meint vor allen den Umgang mit den ne</w:t>
            </w:r>
            <w:r>
              <w:t>u</w:t>
            </w:r>
            <w:r>
              <w:t>esten Möglichkeiten des Computers, der für Sehgeschädigte entwickelten Software und andere technische Hi</w:t>
            </w:r>
            <w:r>
              <w:t>l</w:t>
            </w:r>
            <w:r>
              <w:t xml:space="preserve">fen wie FarView. Das Proseminar </w:t>
            </w:r>
            <w:r>
              <w:t xml:space="preserve">I </w:t>
            </w:r>
            <w:r>
              <w:t>gibt eine Einführung in die Sprac</w:t>
            </w:r>
            <w:r>
              <w:t>h</w:t>
            </w:r>
            <w:r>
              <w:t>ausgabe (JAWS, ausführlicher siehe Proseminar Einführung in JAWS I), Vergröß</w:t>
            </w:r>
            <w:r>
              <w:t>e</w:t>
            </w:r>
            <w:r>
              <w:t>rungssoftware, Online-Bibliotheken, Kontakte zu Vereinen und kommerz</w:t>
            </w:r>
            <w:r>
              <w:t>i</w:t>
            </w:r>
            <w:r>
              <w:t>ellen Unternehmen, die Hilfsmittel für Sehbehinderte zur Verfügung stellen u.v.a.</w:t>
            </w:r>
          </w:p>
        </w:tc>
        <w:tc>
          <w:tcPr>
            <w:tcW w:w="4322" w:type="dxa"/>
          </w:tcPr>
          <w:p w:rsidR="002D73FB" w:rsidRPr="002D73FB" w:rsidRDefault="002D73FB" w:rsidP="002D73FB">
            <w:pPr>
              <w:jc w:val="left"/>
              <w:rPr>
                <w:i/>
                <w:lang w:val="en-US"/>
              </w:rPr>
            </w:pPr>
            <w:r w:rsidRPr="002D73FB">
              <w:rPr>
                <w:i/>
                <w:lang w:val="en-US"/>
              </w:rPr>
              <w:t>'Medienkompetenz' for blind and visually impaired students is b</w:t>
            </w:r>
            <w:r w:rsidRPr="002D73FB">
              <w:rPr>
                <w:i/>
                <w:lang w:val="en-US"/>
              </w:rPr>
              <w:t>e</w:t>
            </w:r>
            <w:r w:rsidRPr="002D73FB">
              <w:rPr>
                <w:i/>
                <w:lang w:val="en-US"/>
              </w:rPr>
              <w:t>fore all dealing with the latest capabil</w:t>
            </w:r>
            <w:r w:rsidRPr="002D73FB">
              <w:rPr>
                <w:i/>
                <w:lang w:val="en-US"/>
              </w:rPr>
              <w:t>i</w:t>
            </w:r>
            <w:r w:rsidRPr="002D73FB">
              <w:rPr>
                <w:i/>
                <w:lang w:val="en-US"/>
              </w:rPr>
              <w:t>ties of the computer, the sof</w:t>
            </w:r>
            <w:r w:rsidRPr="002D73FB">
              <w:rPr>
                <w:i/>
                <w:lang w:val="en-US"/>
              </w:rPr>
              <w:t>t</w:t>
            </w:r>
            <w:r w:rsidRPr="002D73FB">
              <w:rPr>
                <w:i/>
                <w:lang w:val="en-US"/>
              </w:rPr>
              <w:t>ware developed for the visually i</w:t>
            </w:r>
            <w:r w:rsidRPr="002D73FB">
              <w:rPr>
                <w:i/>
                <w:lang w:val="en-US"/>
              </w:rPr>
              <w:t>m</w:t>
            </w:r>
            <w:r w:rsidRPr="002D73FB">
              <w:rPr>
                <w:i/>
                <w:lang w:val="en-US"/>
              </w:rPr>
              <w:t>paired and other technical aids such Fa</w:t>
            </w:r>
            <w:r w:rsidRPr="002D73FB">
              <w:rPr>
                <w:i/>
                <w:lang w:val="en-US"/>
              </w:rPr>
              <w:t>r</w:t>
            </w:r>
            <w:r w:rsidRPr="002D73FB">
              <w:rPr>
                <w:i/>
                <w:lang w:val="en-US"/>
              </w:rPr>
              <w:t>View. The seminar I is an introdu</w:t>
            </w:r>
            <w:r w:rsidRPr="002D73FB">
              <w:rPr>
                <w:i/>
                <w:lang w:val="en-US"/>
              </w:rPr>
              <w:t>c</w:t>
            </w:r>
            <w:r w:rsidRPr="002D73FB">
              <w:rPr>
                <w:i/>
                <w:lang w:val="en-US"/>
              </w:rPr>
              <w:t>tion to the Text-to-Speech (JAWS, detail see 'Introduction JAWS I'), magnification software, online l</w:t>
            </w:r>
            <w:r w:rsidRPr="002D73FB">
              <w:rPr>
                <w:i/>
                <w:lang w:val="en-US"/>
              </w:rPr>
              <w:t>i</w:t>
            </w:r>
            <w:r w:rsidRPr="002D73FB">
              <w:rPr>
                <w:i/>
                <w:lang w:val="en-US"/>
              </w:rPr>
              <w:t>braries, contacts with associations and commercial enterprises prov</w:t>
            </w:r>
            <w:r w:rsidRPr="002D73FB">
              <w:rPr>
                <w:i/>
                <w:lang w:val="en-US"/>
              </w:rPr>
              <w:t>i</w:t>
            </w:r>
            <w:r w:rsidRPr="002D73FB">
              <w:rPr>
                <w:i/>
                <w:lang w:val="en-US"/>
              </w:rPr>
              <w:t>deng aids for the visually impaired.</w:t>
            </w:r>
          </w:p>
        </w:tc>
      </w:tr>
    </w:tbl>
    <w:p w:rsidR="00BA1F2A" w:rsidRDefault="00BA1F2A">
      <w:pPr>
        <w:rPr>
          <w:lang w:val="en-US"/>
        </w:rPr>
      </w:pPr>
    </w:p>
    <w:p w:rsidR="002D73FB" w:rsidRDefault="002D73FB" w:rsidP="00300A47">
      <w:pPr>
        <w:pStyle w:val="berschrift2"/>
        <w:rPr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t xml:space="preserve">Struktur / </w:t>
      </w:r>
      <w:r>
        <w:rPr>
          <w:i/>
          <w:lang w:val="en-US"/>
        </w:rPr>
        <w:t>structure</w:t>
      </w:r>
      <w:r>
        <w:rPr>
          <w:lang w:val="en-US"/>
        </w:rPr>
        <w:t>:</w:t>
      </w:r>
    </w:p>
    <w:tbl>
      <w:tblPr>
        <w:tblStyle w:val="HelleSchattierung"/>
        <w:tblW w:w="0" w:type="auto"/>
        <w:tblLook w:val="04A0" w:firstRow="1" w:lastRow="0" w:firstColumn="1" w:lastColumn="0" w:noHBand="0" w:noVBand="1"/>
      </w:tblPr>
      <w:tblGrid>
        <w:gridCol w:w="817"/>
        <w:gridCol w:w="7827"/>
      </w:tblGrid>
      <w:tr w:rsidR="009271A0" w:rsidTr="00927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Nr.</w:t>
            </w:r>
          </w:p>
        </w:tc>
        <w:tc>
          <w:tcPr>
            <w:tcW w:w="7827" w:type="dxa"/>
          </w:tcPr>
          <w:p w:rsidR="009271A0" w:rsidRDefault="009271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Modul</w:t>
            </w:r>
          </w:p>
        </w:tc>
      </w:tr>
      <w:tr w:rsid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7827" w:type="dxa"/>
          </w:tcPr>
          <w:p w:rsidR="009271A0" w:rsidRDefault="0092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Einleitung</w:t>
            </w:r>
          </w:p>
        </w:tc>
      </w:tr>
      <w:tr w:rsid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9271A0" w:rsidRPr="009271A0" w:rsidRDefault="009271A0" w:rsidP="00927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9271A0">
              <w:rPr>
                <w:rStyle w:val="12pt"/>
              </w:rPr>
              <w:t>Test – Bedarfsanalyse</w:t>
            </w:r>
            <w:r>
              <w:rPr>
                <w:rStyle w:val="12pt"/>
              </w:rPr>
              <w:t xml:space="preserve"> – Modulgewichtung</w:t>
            </w:r>
          </w:p>
        </w:tc>
      </w:tr>
      <w:tr w:rsidR="009271A0" w:rsidRP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7827" w:type="dxa"/>
          </w:tcPr>
          <w:p w:rsidR="009271A0" w:rsidRPr="009271A0" w:rsidRDefault="009271A0" w:rsidP="0092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Führung durch die</w:t>
            </w:r>
            <w:r>
              <w:t xml:space="preserve"> UB Erlangen</w:t>
            </w:r>
          </w:p>
        </w:tc>
      </w:tr>
      <w:tr w:rsidR="009271A0" w:rsidRP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</w:rPr>
            </w:pPr>
          </w:p>
        </w:tc>
        <w:tc>
          <w:tcPr>
            <w:tcW w:w="7827" w:type="dxa"/>
          </w:tcPr>
          <w:p w:rsidR="009271A0" w:rsidRPr="009271A0" w:rsidRDefault="00927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9271A0">
              <w:rPr>
                <w:rStyle w:val="12pt"/>
              </w:rPr>
              <w:t>Scanner, Bildschirmlesegerät, Onlinekopierer</w:t>
            </w:r>
          </w:p>
        </w:tc>
      </w:tr>
      <w:tr w:rsidR="009271A0" w:rsidRP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7827" w:type="dxa"/>
          </w:tcPr>
          <w:p w:rsidR="009271A0" w:rsidRPr="009271A0" w:rsidRDefault="009271A0" w:rsidP="0092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5FD">
              <w:t xml:space="preserve">Braille </w:t>
            </w:r>
            <w:r>
              <w:t>I (nur für Erblindete)</w:t>
            </w:r>
          </w:p>
        </w:tc>
      </w:tr>
      <w:tr w:rsidR="009271A0" w:rsidRP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</w:rPr>
            </w:pPr>
          </w:p>
        </w:tc>
        <w:tc>
          <w:tcPr>
            <w:tcW w:w="7827" w:type="dxa"/>
          </w:tcPr>
          <w:p w:rsidR="009271A0" w:rsidRPr="009271A0" w:rsidRDefault="00927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9271A0">
              <w:rPr>
                <w:rStyle w:val="12pt"/>
              </w:rPr>
              <w:t>Funktionsweise, Probleme, Perspektiven</w:t>
            </w:r>
          </w:p>
        </w:tc>
      </w:tr>
      <w:tr w:rsidR="009271A0" w:rsidRP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  <w:tc>
          <w:tcPr>
            <w:tcW w:w="7827" w:type="dxa"/>
          </w:tcPr>
          <w:p w:rsidR="009271A0" w:rsidRPr="009271A0" w:rsidRDefault="009271A0" w:rsidP="00927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71A0">
              <w:t xml:space="preserve">Braille </w:t>
            </w:r>
            <w:r>
              <w:t>II (nur für Erblindete)</w:t>
            </w:r>
          </w:p>
        </w:tc>
      </w:tr>
      <w:tr w:rsidR="009271A0" w:rsidRP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</w:rPr>
            </w:pPr>
          </w:p>
        </w:tc>
        <w:tc>
          <w:tcPr>
            <w:tcW w:w="7827" w:type="dxa"/>
          </w:tcPr>
          <w:p w:rsidR="009271A0" w:rsidRPr="009271A0" w:rsidRDefault="00927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9271A0">
              <w:rPr>
                <w:rStyle w:val="12pt"/>
              </w:rPr>
              <w:t>Geschichte Braille – Systematik – Braille und Computer</w:t>
            </w:r>
          </w:p>
        </w:tc>
      </w:tr>
      <w:tr w:rsid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7827" w:type="dxa"/>
          </w:tcPr>
          <w:p w:rsidR="009271A0" w:rsidRDefault="0048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Exkursion I: BBSB</w:t>
            </w:r>
          </w:p>
        </w:tc>
      </w:tr>
      <w:tr w:rsidR="009271A0" w:rsidRPr="00481AAF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9271A0" w:rsidRPr="00481AAF" w:rsidRDefault="00481AAF" w:rsidP="00481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481AAF">
              <w:rPr>
                <w:rStyle w:val="12pt"/>
              </w:rPr>
              <w:t>Vergrößerungs-Hardware</w:t>
            </w:r>
            <w:r>
              <w:rPr>
                <w:rStyle w:val="12pt"/>
              </w:rPr>
              <w:t xml:space="preserve"> (</w:t>
            </w:r>
            <w:r w:rsidRPr="00481AAF">
              <w:rPr>
                <w:rStyle w:val="12pt"/>
              </w:rPr>
              <w:t xml:space="preserve">elektronische Lupe </w:t>
            </w:r>
            <w:r>
              <w:rPr>
                <w:rStyle w:val="12pt"/>
              </w:rPr>
              <w:t>bis</w:t>
            </w:r>
            <w:r w:rsidRPr="00481AAF">
              <w:rPr>
                <w:rStyle w:val="12pt"/>
              </w:rPr>
              <w:t xml:space="preserve"> Bildschirm-Lesegerät</w:t>
            </w:r>
            <w:r>
              <w:rPr>
                <w:rStyle w:val="12pt"/>
              </w:rPr>
              <w:t>)</w:t>
            </w:r>
          </w:p>
        </w:tc>
      </w:tr>
      <w:tr w:rsid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  <w:tc>
          <w:tcPr>
            <w:tcW w:w="7827" w:type="dxa"/>
          </w:tcPr>
          <w:p w:rsidR="009271A0" w:rsidRDefault="00481AAF" w:rsidP="0048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15FD">
              <w:t>Vergrößerungssoftware</w:t>
            </w:r>
            <w:r>
              <w:t xml:space="preserve"> I</w:t>
            </w:r>
          </w:p>
        </w:tc>
      </w:tr>
      <w:tr w:rsid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9271A0" w:rsidRDefault="009271A0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9271A0" w:rsidRPr="00481AAF" w:rsidRDefault="00481AAF" w:rsidP="00481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481AAF">
              <w:rPr>
                <w:rStyle w:val="12pt"/>
              </w:rPr>
              <w:t>Design Windows – Software-Lupen</w:t>
            </w:r>
          </w:p>
        </w:tc>
      </w:tr>
      <w:tr w:rsidR="00481AAF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481AAF" w:rsidRPr="009271A0" w:rsidRDefault="00481AAF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</w:t>
            </w:r>
          </w:p>
        </w:tc>
        <w:tc>
          <w:tcPr>
            <w:tcW w:w="7827" w:type="dxa"/>
          </w:tcPr>
          <w:p w:rsidR="00481AAF" w:rsidRDefault="00481AAF" w:rsidP="0025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15FD">
              <w:t>Vergrößerungssoftware</w:t>
            </w:r>
            <w:r>
              <w:t xml:space="preserve"> II</w:t>
            </w:r>
          </w:p>
        </w:tc>
      </w:tr>
      <w:tr w:rsidR="00481AAF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481AAF" w:rsidRPr="009271A0" w:rsidRDefault="00481AAF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481AAF" w:rsidRPr="00481AAF" w:rsidRDefault="0080754A" w:rsidP="00481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>
              <w:rPr>
                <w:rStyle w:val="12pt"/>
              </w:rPr>
              <w:t xml:space="preserve">Das Programm </w:t>
            </w:r>
            <w:r w:rsidR="00481AAF">
              <w:rPr>
                <w:rStyle w:val="12pt"/>
              </w:rPr>
              <w:t>ZoomText</w:t>
            </w:r>
          </w:p>
        </w:tc>
      </w:tr>
      <w:tr w:rsidR="00481AAF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481AAF" w:rsidRPr="009271A0" w:rsidRDefault="00481AAF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7827" w:type="dxa"/>
          </w:tcPr>
          <w:p w:rsidR="00481AAF" w:rsidRDefault="00481AAF" w:rsidP="0025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15FD">
              <w:t>Vergrößerungssoftware</w:t>
            </w:r>
            <w:r>
              <w:t xml:space="preserve"> III</w:t>
            </w:r>
          </w:p>
        </w:tc>
      </w:tr>
      <w:tr w:rsidR="00481AAF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481AAF" w:rsidRDefault="00481AAF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481AAF" w:rsidRPr="00481AAF" w:rsidRDefault="00481AAF" w:rsidP="0025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>
              <w:rPr>
                <w:rStyle w:val="12pt"/>
              </w:rPr>
              <w:t>SuperNova</w:t>
            </w:r>
            <w:r w:rsidR="0080754A">
              <w:rPr>
                <w:rStyle w:val="12pt"/>
              </w:rPr>
              <w:t xml:space="preserve"> als Alternative</w:t>
            </w:r>
          </w:p>
        </w:tc>
      </w:tr>
      <w:tr w:rsid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</w:t>
            </w:r>
          </w:p>
        </w:tc>
        <w:tc>
          <w:tcPr>
            <w:tcW w:w="7827" w:type="dxa"/>
          </w:tcPr>
          <w:p w:rsidR="009271A0" w:rsidRDefault="00481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Exkursion II: BBSB</w:t>
            </w:r>
          </w:p>
        </w:tc>
      </w:tr>
      <w:tr w:rsid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9271A0" w:rsidRPr="00481AAF" w:rsidRDefault="00481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481AAF">
              <w:rPr>
                <w:rStyle w:val="12pt"/>
              </w:rPr>
              <w:t>Beratung zur Finanzierung</w:t>
            </w:r>
          </w:p>
        </w:tc>
      </w:tr>
      <w:tr w:rsid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7827" w:type="dxa"/>
          </w:tcPr>
          <w:p w:rsidR="009271A0" w:rsidRDefault="00F15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Computer und Kamera</w:t>
            </w:r>
          </w:p>
        </w:tc>
      </w:tr>
      <w:tr w:rsid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9271A0" w:rsidRPr="00F15676" w:rsidRDefault="00F1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F15676">
              <w:rPr>
                <w:rStyle w:val="12pt"/>
              </w:rPr>
              <w:t>Funktionsweise, Bedienung, Scanner</w:t>
            </w:r>
          </w:p>
        </w:tc>
      </w:tr>
      <w:tr w:rsidR="009271A0" w:rsidRPr="00F15676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11</w:t>
            </w:r>
          </w:p>
        </w:tc>
        <w:tc>
          <w:tcPr>
            <w:tcW w:w="7827" w:type="dxa"/>
          </w:tcPr>
          <w:p w:rsidR="009271A0" w:rsidRPr="00F15676" w:rsidRDefault="00F15676" w:rsidP="00F15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676">
              <w:t>Aufbereitung des Betriebssystems und der Software</w:t>
            </w:r>
          </w:p>
        </w:tc>
      </w:tr>
      <w:tr w:rsid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Pr="00F15676" w:rsidRDefault="009271A0">
            <w:pPr>
              <w:rPr>
                <w:b w:val="0"/>
              </w:rPr>
            </w:pPr>
          </w:p>
        </w:tc>
        <w:tc>
          <w:tcPr>
            <w:tcW w:w="7827" w:type="dxa"/>
          </w:tcPr>
          <w:p w:rsidR="009271A0" w:rsidRPr="00F15676" w:rsidRDefault="00F1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>
              <w:rPr>
                <w:rStyle w:val="12pt"/>
              </w:rPr>
              <w:t>Barrierefreiheit (Windows 7, IE, Firefox)</w:t>
            </w:r>
          </w:p>
        </w:tc>
      </w:tr>
      <w:tr w:rsidR="00F15676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  <w:tc>
          <w:tcPr>
            <w:tcW w:w="7827" w:type="dxa"/>
          </w:tcPr>
          <w:p w:rsidR="00F15676" w:rsidRDefault="00F15676" w:rsidP="0025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Sprachausgabe I</w:t>
            </w:r>
          </w:p>
        </w:tc>
      </w:tr>
      <w:tr w:rsidR="00F15676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F15676" w:rsidRPr="00F15676" w:rsidRDefault="00F15676" w:rsidP="0025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F15676">
              <w:rPr>
                <w:rStyle w:val="12pt"/>
              </w:rPr>
              <w:t xml:space="preserve">Die </w:t>
            </w:r>
            <w:r w:rsidR="00392393" w:rsidRPr="00F15676">
              <w:rPr>
                <w:rStyle w:val="12pt"/>
              </w:rPr>
              <w:t>Windows</w:t>
            </w:r>
            <w:r w:rsidRPr="00F15676">
              <w:rPr>
                <w:rStyle w:val="12pt"/>
              </w:rPr>
              <w:t>-Lösung</w:t>
            </w:r>
          </w:p>
        </w:tc>
      </w:tr>
      <w:tr w:rsidR="00F15676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</w:t>
            </w:r>
          </w:p>
        </w:tc>
        <w:tc>
          <w:tcPr>
            <w:tcW w:w="7827" w:type="dxa"/>
          </w:tcPr>
          <w:p w:rsidR="00F15676" w:rsidRDefault="00F15676" w:rsidP="0025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Sprachausgabe II</w:t>
            </w:r>
          </w:p>
        </w:tc>
      </w:tr>
      <w:tr w:rsidR="00F15676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F15676" w:rsidRPr="00F15676" w:rsidRDefault="00F15676" w:rsidP="0025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>
              <w:rPr>
                <w:rStyle w:val="12pt"/>
              </w:rPr>
              <w:t>Screenreader JAWS</w:t>
            </w:r>
          </w:p>
        </w:tc>
      </w:tr>
      <w:tr w:rsidR="00F15676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</w:t>
            </w:r>
          </w:p>
        </w:tc>
        <w:tc>
          <w:tcPr>
            <w:tcW w:w="7827" w:type="dxa"/>
          </w:tcPr>
          <w:p w:rsidR="00F15676" w:rsidRDefault="00F15676" w:rsidP="0025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Sprachausgabe III</w:t>
            </w:r>
          </w:p>
        </w:tc>
      </w:tr>
      <w:tr w:rsidR="00F15676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F15676" w:rsidRPr="00F15676" w:rsidRDefault="00F15676" w:rsidP="0025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>
              <w:rPr>
                <w:rStyle w:val="12pt"/>
              </w:rPr>
              <w:t>Screenreader JAWS</w:t>
            </w:r>
          </w:p>
        </w:tc>
      </w:tr>
      <w:tr w:rsidR="00F15676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7827" w:type="dxa"/>
          </w:tcPr>
          <w:p w:rsidR="00F15676" w:rsidRDefault="00F15676" w:rsidP="0025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Layout-Kunde I</w:t>
            </w:r>
          </w:p>
        </w:tc>
      </w:tr>
      <w:tr w:rsidR="00F15676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F15676" w:rsidRDefault="00F15676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F15676" w:rsidRPr="00F15676" w:rsidRDefault="00F15676" w:rsidP="0025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F15676">
              <w:rPr>
                <w:rStyle w:val="12pt"/>
              </w:rPr>
              <w:t>Word-Funktionen für Sehbehinderte</w:t>
            </w:r>
          </w:p>
        </w:tc>
      </w:tr>
      <w:tr w:rsidR="009271A0" w:rsidTr="00927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16</w:t>
            </w:r>
          </w:p>
        </w:tc>
        <w:tc>
          <w:tcPr>
            <w:tcW w:w="7827" w:type="dxa"/>
          </w:tcPr>
          <w:p w:rsidR="009271A0" w:rsidRDefault="00F15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Layout-Kunde II</w:t>
            </w:r>
          </w:p>
        </w:tc>
      </w:tr>
      <w:tr w:rsidR="009271A0" w:rsidTr="0092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271A0" w:rsidRDefault="009271A0">
            <w:pPr>
              <w:rPr>
                <w:b w:val="0"/>
                <w:lang w:val="en-US"/>
              </w:rPr>
            </w:pPr>
          </w:p>
        </w:tc>
        <w:tc>
          <w:tcPr>
            <w:tcW w:w="7827" w:type="dxa"/>
          </w:tcPr>
          <w:p w:rsidR="009271A0" w:rsidRPr="00F15676" w:rsidRDefault="00F1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t"/>
              </w:rPr>
            </w:pPr>
            <w:r w:rsidRPr="00F15676">
              <w:rPr>
                <w:rStyle w:val="12pt"/>
              </w:rPr>
              <w:t>Die Alternativen: OpenOffice</w:t>
            </w:r>
          </w:p>
        </w:tc>
      </w:tr>
    </w:tbl>
    <w:p w:rsidR="002D73FB" w:rsidRDefault="002D73FB">
      <w:pPr>
        <w:rPr>
          <w:lang w:val="en-US"/>
        </w:rPr>
      </w:pPr>
    </w:p>
    <w:sectPr w:rsidR="002D73FB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1CAE"/>
    <w:multiLevelType w:val="hybridMultilevel"/>
    <w:tmpl w:val="D7883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915FD"/>
    <w:rsid w:val="000E37ED"/>
    <w:rsid w:val="002D73FB"/>
    <w:rsid w:val="00300A47"/>
    <w:rsid w:val="00392393"/>
    <w:rsid w:val="004305FA"/>
    <w:rsid w:val="00481AAF"/>
    <w:rsid w:val="00533702"/>
    <w:rsid w:val="00647BF5"/>
    <w:rsid w:val="006C5EB2"/>
    <w:rsid w:val="007E6748"/>
    <w:rsid w:val="0080754A"/>
    <w:rsid w:val="00877EF7"/>
    <w:rsid w:val="008A3D7D"/>
    <w:rsid w:val="008E5850"/>
    <w:rsid w:val="009271A0"/>
    <w:rsid w:val="00957C53"/>
    <w:rsid w:val="00963373"/>
    <w:rsid w:val="00BA1F2A"/>
    <w:rsid w:val="00BD7F65"/>
    <w:rsid w:val="00C3366F"/>
    <w:rsid w:val="00C6402D"/>
    <w:rsid w:val="00CF46C9"/>
    <w:rsid w:val="00D5512C"/>
    <w:rsid w:val="00D6542E"/>
    <w:rsid w:val="00D95F9E"/>
    <w:rsid w:val="00F15676"/>
    <w:rsid w:val="00F3562D"/>
    <w:rsid w:val="00F637F9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A1F2A"/>
    <w:pPr>
      <w:ind w:left="720"/>
      <w:contextualSpacing/>
    </w:pPr>
  </w:style>
  <w:style w:type="table" w:styleId="Tabellenraster">
    <w:name w:val="Table Grid"/>
    <w:basedOn w:val="NormaleTabelle"/>
    <w:uiPriority w:val="59"/>
    <w:rsid w:val="002D73F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12pt"/>
    <w:basedOn w:val="Absatz-Standardschriftart"/>
    <w:uiPriority w:val="1"/>
    <w:qFormat/>
    <w:rsid w:val="009271A0"/>
    <w:rPr>
      <w:color w:val="000000" w:themeColor="text1" w:themeShade="BF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A1F2A"/>
    <w:pPr>
      <w:ind w:left="720"/>
      <w:contextualSpacing/>
    </w:pPr>
  </w:style>
  <w:style w:type="table" w:styleId="Tabellenraster">
    <w:name w:val="Table Grid"/>
    <w:basedOn w:val="NormaleTabelle"/>
    <w:uiPriority w:val="59"/>
    <w:rsid w:val="002D73F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12pt"/>
    <w:basedOn w:val="Absatz-Standardschriftart"/>
    <w:uiPriority w:val="1"/>
    <w:qFormat/>
    <w:rsid w:val="009271A0"/>
    <w:rPr>
      <w:color w:val="000000" w:themeColor="text1" w:themeShade="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78F0-A240-4F2B-B23F-B11C943C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13</cp:revision>
  <cp:lastPrinted>2013-03-31T18:08:00Z</cp:lastPrinted>
  <dcterms:created xsi:type="dcterms:W3CDTF">2012-11-18T17:51:00Z</dcterms:created>
  <dcterms:modified xsi:type="dcterms:W3CDTF">2013-03-31T18:09:00Z</dcterms:modified>
</cp:coreProperties>
</file>